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04" w:rsidRPr="00596A78" w:rsidRDefault="00596A78" w:rsidP="00596A78">
      <w:pPr>
        <w:spacing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5549252"/>
      <w:bookmarkStart w:id="1" w:name="_GoBack"/>
      <w:r w:rsidRPr="00596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LONG TERM COMPARISON OF PLATINUM CHROMIUM-BASED EVEROLIMUS-ELUTING STENT VERSUS COBALT CHROMIUM-BASED ZOTAROLIMUS-ELUTING STENT: 3-YEAR OUTCOMES FROM THE HOST-ASSURE RANDOMIZED CLINICAL TRIAL</w:t>
      </w:r>
    </w:p>
    <w:p w:rsidR="00A0090A" w:rsidRDefault="00A62B04" w:rsidP="00A0090A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596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K. Park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, C. Kim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, J. Kang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, H.-S. Kim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596A78" w:rsidRDefault="00A62B04" w:rsidP="00A0090A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Medicine, Seoul National University Hospital, Seoul, </w:t>
      </w:r>
      <w:r w:rsid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Republic of 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Korea</w:t>
      </w:r>
    </w:p>
    <w:bookmarkEnd w:id="0"/>
    <w:bookmarkEnd w:id="1"/>
    <w:p w:rsidR="00A62B04" w:rsidRPr="00596A78" w:rsidRDefault="00A62B04" w:rsidP="00596A78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Seoul National University Hospital, Seoul, </w:t>
      </w:r>
      <w:r w:rsid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Republic of 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Korea</w:t>
      </w:r>
    </w:p>
    <w:p w:rsidR="00A62B04" w:rsidRPr="00596A78" w:rsidRDefault="00A62B04" w:rsidP="00596A78">
      <w:pPr>
        <w:spacing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A78" w:rsidRDefault="00A62B04" w:rsidP="00596A78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This study sought to compare the long-term outcome of platinum chromium-based 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everolimus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-eluting stents (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PtCr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-EES) versus cobalt chromium-based 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zotarolimus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-eluting stents (CoCr-ZES) in all-comers receiving percutaneous coronary intervention.</w:t>
      </w:r>
    </w:p>
    <w:p w:rsidR="00596A78" w:rsidRDefault="00A62B04" w:rsidP="00596A78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3,755 patients receiving PCI were randomized 2:1 to 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PtCr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-EES or CoCr-ZES, and 96.0% of patients completed 3-year clinical follow up. The primary outcome was target lesion failure (TLF) at 3-year post-PCI, defined as the composite of cardiac death, target vessel-related myocardial infarction (MI), and clinically-driven target lesion revascularization (TLR). </w:t>
      </w:r>
    </w:p>
    <w:p w:rsidR="00596A78" w:rsidRDefault="00A62B04" w:rsidP="00596A78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At 3 years, TLF occurred in 5.3% and 5.4% of the population in the 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PtCr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-EES and CoCr-ZES groups, respectively (HR 0.978, 95% CI 0.730-1.310, p=0.919). There were no significant differences in the individual components of TLF (cardiac death, 2.8% vs. 2.4%, p=0.493; target vessel-related MI, 1.0% vs. 0.7%, p= 0.451; clinically-driven TLR, 2.2% vs. 2.7%, p=0.314). Routine angiographic follow-up was performed in 38.9% of the total patients. In a landmark analysis of the subgroup that received angiographic follow-up, the TLF rate of CoCr-ZES was significantly higher than 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PtCr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-EES during the angiography follow-up period (p=0.011), mainly due to higher repeat revascularization rate. There were 3 cases of very late definite thrombosis in 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PtCr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-EES, but not in CoCr-ZES. Overall definite and probable stent thrombosis rates were very low in both groups (0.5% vs. 0.6%, p=0.677). </w:t>
      </w:r>
    </w:p>
    <w:p w:rsidR="00A62B04" w:rsidRPr="00596A78" w:rsidRDefault="00A62B04" w:rsidP="00596A78">
      <w:pPr>
        <w:spacing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6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PtCr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-EES and CoCr-ZES showed comparable and excellent long-term outcomes in both efficacy and safety after PCI in an all-comer population. The rate of repeat revascularization in CoCr-ZES was slightly higher than in </w:t>
      </w:r>
      <w:proofErr w:type="spellStart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PtCr</w:t>
      </w:r>
      <w:proofErr w:type="spellEnd"/>
      <w:r w:rsidRPr="00596A78">
        <w:rPr>
          <w:rFonts w:ascii="Times New Roman" w:eastAsia="Times New Roman" w:hAnsi="Times New Roman" w:cs="Times New Roman"/>
          <w:color w:val="000000"/>
          <w:sz w:val="24"/>
          <w:szCs w:val="24"/>
        </w:rPr>
        <w:t>-EES when routine angiography follow-up was performed.</w:t>
      </w:r>
    </w:p>
    <w:p w:rsidR="00A62B04" w:rsidRPr="00596A78" w:rsidRDefault="00A62B04" w:rsidP="00596A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596A78" w:rsidRDefault="001B4B8C" w:rsidP="00596A78">
      <w:pPr>
        <w:jc w:val="both"/>
        <w:rPr>
          <w:sz w:val="24"/>
          <w:szCs w:val="24"/>
        </w:rPr>
      </w:pPr>
    </w:p>
    <w:sectPr w:rsidR="00345DBB" w:rsidRPr="00596A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8C" w:rsidRDefault="001B4B8C" w:rsidP="00596A78">
      <w:r>
        <w:separator/>
      </w:r>
    </w:p>
  </w:endnote>
  <w:endnote w:type="continuationSeparator" w:id="0">
    <w:p w:rsidR="001B4B8C" w:rsidRDefault="001B4B8C" w:rsidP="0059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8C" w:rsidRDefault="001B4B8C" w:rsidP="00596A78">
      <w:r>
        <w:separator/>
      </w:r>
    </w:p>
  </w:footnote>
  <w:footnote w:type="continuationSeparator" w:id="0">
    <w:p w:rsidR="001B4B8C" w:rsidRDefault="001B4B8C" w:rsidP="0059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A78" w:rsidRPr="00596A78" w:rsidRDefault="00596A78" w:rsidP="00596A78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96A78">
      <w:rPr>
        <w:rFonts w:ascii="Times New Roman" w:eastAsia="Times New Roman" w:hAnsi="Times New Roman" w:cs="Times New Roman"/>
        <w:color w:val="000000"/>
        <w:sz w:val="24"/>
        <w:szCs w:val="24"/>
      </w:rPr>
      <w:t>18-A-1212-IAC</w:t>
    </w:r>
  </w:p>
  <w:p w:rsidR="00596A78" w:rsidRPr="00596A78" w:rsidRDefault="00596A78" w:rsidP="00596A78">
    <w:pPr>
      <w:spacing w:line="200" w:lineRule="atLeast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96A78">
      <w:rPr>
        <w:rFonts w:ascii="Times New Roman" w:eastAsia="Times New Roman" w:hAnsi="Times New Roman" w:cs="Times New Roman"/>
        <w:color w:val="000000"/>
        <w:sz w:val="24"/>
        <w:szCs w:val="24"/>
      </w:rPr>
      <w:t>22. Percutaneous Coronary Intervention</w:t>
    </w:r>
  </w:p>
  <w:p w:rsidR="00596A78" w:rsidRDefault="00596A78">
    <w:pPr>
      <w:pStyle w:val="Header"/>
    </w:pPr>
  </w:p>
  <w:p w:rsidR="00596A78" w:rsidRDefault="00596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04"/>
    <w:rsid w:val="001B4B8C"/>
    <w:rsid w:val="0030401F"/>
    <w:rsid w:val="00593FBC"/>
    <w:rsid w:val="00596A78"/>
    <w:rsid w:val="008A10D5"/>
    <w:rsid w:val="00A0090A"/>
    <w:rsid w:val="00A128E1"/>
    <w:rsid w:val="00A62B04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0CF9"/>
  <w15:chartTrackingRefBased/>
  <w15:docId w15:val="{7C9AD4F4-1281-46EF-8F1D-0F57F98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78"/>
  </w:style>
  <w:style w:type="paragraph" w:styleId="Footer">
    <w:name w:val="footer"/>
    <w:basedOn w:val="Normal"/>
    <w:link w:val="FooterChar"/>
    <w:uiPriority w:val="99"/>
    <w:unhideWhenUsed/>
    <w:rsid w:val="0059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2018-05-31T13:55:00Z</dcterms:created>
  <dcterms:modified xsi:type="dcterms:W3CDTF">2018-05-31T16:15:00Z</dcterms:modified>
</cp:coreProperties>
</file>